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BE851" w14:textId="49D66E6F" w:rsidR="00AA3B22" w:rsidRDefault="00AA3B22" w:rsidP="00AA3B22">
      <w:pPr>
        <w:pStyle w:val="BodyText2"/>
        <w:spacing w:line="240" w:lineRule="auto"/>
        <w:jc w:val="both"/>
        <w:rPr>
          <w:rFonts w:ascii="Calibri" w:hAnsi="Calibri"/>
          <w:sz w:val="22"/>
          <w:szCs w:val="22"/>
          <w:lang w:val="lt-LT"/>
        </w:rPr>
      </w:pPr>
      <w:r>
        <w:rPr>
          <w:rFonts w:ascii="Calibri" w:hAnsi="Calibri"/>
          <w:noProof/>
          <w:sz w:val="22"/>
          <w:szCs w:val="22"/>
          <w:lang w:val="lt-LT"/>
        </w:rPr>
        <mc:AlternateContent>
          <mc:Choice Requires="wps">
            <w:drawing>
              <wp:anchor distT="0" distB="0" distL="114300" distR="114300" simplePos="0" relativeHeight="251660288" behindDoc="0" locked="0" layoutInCell="1" allowOverlap="1" wp14:anchorId="4257839F" wp14:editId="3C02A95C">
                <wp:simplePos x="0" y="0"/>
                <wp:positionH relativeFrom="column">
                  <wp:posOffset>4362836</wp:posOffset>
                </wp:positionH>
                <wp:positionV relativeFrom="paragraph">
                  <wp:posOffset>-600544</wp:posOffset>
                </wp:positionV>
                <wp:extent cx="1931615" cy="94620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931615" cy="946205"/>
                        </a:xfrm>
                        <a:prstGeom prst="rect">
                          <a:avLst/>
                        </a:prstGeom>
                        <a:solidFill>
                          <a:schemeClr val="lt1"/>
                        </a:solidFill>
                        <a:ln w="6350">
                          <a:noFill/>
                        </a:ln>
                      </wps:spPr>
                      <wps:txbx>
                        <w:txbxContent>
                          <w:p w14:paraId="042645AB" w14:textId="628427BB" w:rsidR="00AA3B22" w:rsidRDefault="00AA3B22">
                            <w:r>
                              <w:rPr>
                                <w:noProof/>
                              </w:rPr>
                              <w:drawing>
                                <wp:inline distT="0" distB="0" distL="0" distR="0" wp14:anchorId="02F5296C" wp14:editId="1086377B">
                                  <wp:extent cx="1779270" cy="848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C_logo_new_2013.JPG"/>
                                          <pic:cNvPicPr/>
                                        </pic:nvPicPr>
                                        <pic:blipFill>
                                          <a:blip r:embed="rId5">
                                            <a:extLst>
                                              <a:ext uri="{28A0092B-C50C-407E-A947-70E740481C1C}">
                                                <a14:useLocalDpi xmlns:a14="http://schemas.microsoft.com/office/drawing/2010/main" val="0"/>
                                              </a:ext>
                                            </a:extLst>
                                          </a:blip>
                                          <a:stretch>
                                            <a:fillRect/>
                                          </a:stretch>
                                        </pic:blipFill>
                                        <pic:spPr>
                                          <a:xfrm>
                                            <a:off x="0" y="0"/>
                                            <a:ext cx="1779270" cy="84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57839F" id="_x0000_t202" coordsize="21600,21600" o:spt="202" path="m,l,21600r21600,l21600,xe">
                <v:stroke joinstyle="miter"/>
                <v:path gradientshapeok="t" o:connecttype="rect"/>
              </v:shapetype>
              <v:shape id="Text Box 3" o:spid="_x0000_s1026" type="#_x0000_t202" style="position:absolute;left:0;text-align:left;margin-left:343.55pt;margin-top:-47.3pt;width:152.1pt;height:7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" fillcolor="white [3201]" stroked="f" strokeweight=".5pt">
                <v:textbox>
                  <w:txbxContent>
                    <w:p w14:paraId="042645AB" w14:textId="628427BB" w:rsidR="00AA3B22" w:rsidRDefault="00AA3B22">
                      <w:r>
                        <w:rPr>
                          <w:noProof/>
                        </w:rPr>
                        <w:drawing>
                          <wp:inline distT="0" distB="0" distL="0" distR="0" wp14:anchorId="02F5296C" wp14:editId="1086377B">
                            <wp:extent cx="1779270" cy="848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C_logo_new_2013.JPG"/>
                                    <pic:cNvPicPr/>
                                  </pic:nvPicPr>
                                  <pic:blipFill>
                                    <a:blip r:embed="rId5">
                                      <a:extLst>
                                        <a:ext uri="{28A0092B-C50C-407E-A947-70E740481C1C}">
                                          <a14:useLocalDpi xmlns:a14="http://schemas.microsoft.com/office/drawing/2010/main" val="0"/>
                                        </a:ext>
                                      </a:extLst>
                                    </a:blip>
                                    <a:stretch>
                                      <a:fillRect/>
                                    </a:stretch>
                                  </pic:blipFill>
                                  <pic:spPr>
                                    <a:xfrm>
                                      <a:off x="0" y="0"/>
                                      <a:ext cx="1779270" cy="848360"/>
                                    </a:xfrm>
                                    <a:prstGeom prst="rect">
                                      <a:avLst/>
                                    </a:prstGeom>
                                  </pic:spPr>
                                </pic:pic>
                              </a:graphicData>
                            </a:graphic>
                          </wp:inline>
                        </w:drawing>
                      </w:r>
                    </w:p>
                  </w:txbxContent>
                </v:textbox>
              </v:shape>
            </w:pict>
          </mc:Fallback>
        </mc:AlternateContent>
      </w:r>
      <w:r>
        <w:rPr>
          <w:rFonts w:ascii="Calibri" w:hAnsi="Calibri"/>
          <w:noProof/>
          <w:sz w:val="22"/>
          <w:szCs w:val="22"/>
          <w:lang w:val="lt-LT"/>
        </w:rPr>
        <mc:AlternateContent>
          <mc:Choice Requires="wps">
            <w:drawing>
              <wp:anchor distT="0" distB="0" distL="114300" distR="114300" simplePos="0" relativeHeight="251659264" behindDoc="0" locked="0" layoutInCell="1" allowOverlap="1" wp14:anchorId="3E69617A" wp14:editId="7C34CB9E">
                <wp:simplePos x="0" y="0"/>
                <wp:positionH relativeFrom="column">
                  <wp:posOffset>-479011</wp:posOffset>
                </wp:positionH>
                <wp:positionV relativeFrom="paragraph">
                  <wp:posOffset>-553113</wp:posOffset>
                </wp:positionV>
                <wp:extent cx="2449002" cy="978011"/>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449002" cy="978011"/>
                        </a:xfrm>
                        <a:prstGeom prst="rect">
                          <a:avLst/>
                        </a:prstGeom>
                        <a:solidFill>
                          <a:schemeClr val="lt1"/>
                        </a:solidFill>
                        <a:ln w="6350">
                          <a:noFill/>
                        </a:ln>
                      </wps:spPr>
                      <wps:txbx>
                        <w:txbxContent>
                          <w:p w14:paraId="654989CC" w14:textId="43E45D1C" w:rsidR="00AA3B22" w:rsidRDefault="00AA3B22">
                            <w:r>
                              <w:rPr>
                                <w:noProof/>
                              </w:rPr>
                              <w:drawing>
                                <wp:inline distT="0" distB="0" distL="0" distR="0" wp14:anchorId="02D68CAF" wp14:editId="68ACB249">
                                  <wp:extent cx="2504661" cy="86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9972" cy="8729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69617A" id="Text Box 1" o:spid="_x0000_s1027" type="#_x0000_t202" style="position:absolute;left:0;text-align:left;margin-left:-37.7pt;margin-top:-43.55pt;width:192.85pt;height:7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" fillcolor="white [3201]" stroked="f" strokeweight=".5pt">
                <v:textbox style="mso-fit-shape-to-text:t">
                  <w:txbxContent>
                    <w:p w14:paraId="654989CC" w14:textId="43E45D1C" w:rsidR="00AA3B22" w:rsidRDefault="00AA3B22">
                      <w:r>
                        <w:rPr>
                          <w:noProof/>
                        </w:rPr>
                        <w:drawing>
                          <wp:inline distT="0" distB="0" distL="0" distR="0" wp14:anchorId="02D68CAF" wp14:editId="68ACB249">
                            <wp:extent cx="2504661" cy="86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9972" cy="872969"/>
                                    </a:xfrm>
                                    <a:prstGeom prst="rect">
                                      <a:avLst/>
                                    </a:prstGeom>
                                    <a:noFill/>
                                    <a:ln>
                                      <a:noFill/>
                                    </a:ln>
                                  </pic:spPr>
                                </pic:pic>
                              </a:graphicData>
                            </a:graphic>
                          </wp:inline>
                        </w:drawing>
                      </w:r>
                    </w:p>
                  </w:txbxContent>
                </v:textbox>
              </v:shape>
            </w:pict>
          </mc:Fallback>
        </mc:AlternateContent>
      </w:r>
    </w:p>
    <w:p w14:paraId="1AEF35A2" w14:textId="77777777" w:rsidR="00AA3B22" w:rsidRDefault="00AA3B22" w:rsidP="00AA3B22">
      <w:pPr>
        <w:pStyle w:val="BodyText2"/>
        <w:spacing w:line="240" w:lineRule="auto"/>
        <w:jc w:val="both"/>
        <w:rPr>
          <w:rFonts w:ascii="Calibri" w:hAnsi="Calibri"/>
          <w:sz w:val="22"/>
          <w:szCs w:val="22"/>
          <w:lang w:val="lt-LT"/>
        </w:rPr>
      </w:pPr>
    </w:p>
    <w:p w14:paraId="1419A0C8" w14:textId="0CDD1B4F" w:rsidR="00AA3B22" w:rsidRDefault="00AA3B22" w:rsidP="00AA3B22">
      <w:pPr>
        <w:pStyle w:val="BodyText2"/>
        <w:spacing w:line="240" w:lineRule="auto"/>
        <w:jc w:val="center"/>
        <w:rPr>
          <w:rFonts w:ascii="Calibri" w:hAnsi="Calibri"/>
          <w:sz w:val="22"/>
          <w:szCs w:val="22"/>
          <w:lang w:val="lt-LT"/>
        </w:rPr>
      </w:pPr>
      <w:r>
        <w:rPr>
          <w:rFonts w:ascii="Calibri" w:hAnsi="Calibri"/>
          <w:noProof/>
          <w:sz w:val="22"/>
          <w:szCs w:val="22"/>
          <w:lang w:val="lt-LT"/>
        </w:rPr>
        <w:drawing>
          <wp:inline distT="0" distB="0" distL="0" distR="0" wp14:anchorId="209A84CA" wp14:editId="3D56F94B">
            <wp:extent cx="5216056" cy="32066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0129" cy="3215311"/>
                    </a:xfrm>
                    <a:prstGeom prst="rect">
                      <a:avLst/>
                    </a:prstGeom>
                    <a:noFill/>
                    <a:ln>
                      <a:noFill/>
                    </a:ln>
                  </pic:spPr>
                </pic:pic>
              </a:graphicData>
            </a:graphic>
          </wp:inline>
        </w:drawing>
      </w:r>
    </w:p>
    <w:p w14:paraId="641691FA" w14:textId="77777777" w:rsidR="00AA3B22" w:rsidRDefault="00AA3B22" w:rsidP="00AA3B22">
      <w:pPr>
        <w:pStyle w:val="BodyText2"/>
        <w:spacing w:line="240" w:lineRule="auto"/>
        <w:jc w:val="both"/>
        <w:rPr>
          <w:rFonts w:ascii="Calibri" w:hAnsi="Calibri"/>
          <w:sz w:val="22"/>
          <w:szCs w:val="22"/>
          <w:lang w:val="lt-LT"/>
        </w:rPr>
      </w:pPr>
    </w:p>
    <w:p w14:paraId="640357B1" w14:textId="77777777" w:rsidR="00AA3B22" w:rsidRDefault="00AA3B22" w:rsidP="00AA3B22">
      <w:pPr>
        <w:pStyle w:val="BodyText2"/>
        <w:spacing w:line="240" w:lineRule="auto"/>
        <w:jc w:val="both"/>
        <w:rPr>
          <w:rFonts w:ascii="Calibri" w:hAnsi="Calibri"/>
          <w:sz w:val="22"/>
          <w:szCs w:val="22"/>
          <w:lang w:val="lt-LT"/>
        </w:rPr>
      </w:pPr>
    </w:p>
    <w:p w14:paraId="6D6AB014" w14:textId="50EB0A9F" w:rsidR="00AA3B22" w:rsidRPr="00AA3B22" w:rsidRDefault="00AA3B22" w:rsidP="00AA3B22">
      <w:pPr>
        <w:pStyle w:val="BodyText2"/>
        <w:spacing w:line="240" w:lineRule="auto"/>
        <w:ind w:left="-567"/>
        <w:jc w:val="both"/>
        <w:rPr>
          <w:rFonts w:asciiTheme="minorHAnsi" w:hAnsiTheme="minorHAnsi"/>
          <w:sz w:val="28"/>
          <w:szCs w:val="22"/>
          <w:lang w:val="lt-LT"/>
        </w:rPr>
      </w:pPr>
      <w:r w:rsidRPr="00AA3B22">
        <w:rPr>
          <w:rFonts w:ascii="Calibri" w:hAnsi="Calibri"/>
          <w:sz w:val="28"/>
          <w:szCs w:val="22"/>
          <w:lang w:val="lt-LT"/>
        </w:rPr>
        <w:t xml:space="preserve">Programos „Obuolio draugai“ vykdytojai </w:t>
      </w:r>
      <w:r w:rsidRPr="00AA3B22">
        <w:rPr>
          <w:rFonts w:asciiTheme="minorHAnsi" w:eastAsia="Calibri" w:hAnsiTheme="minorHAnsi" w:cstheme="minorHAnsi"/>
          <w:b/>
          <w:i/>
          <w:iCs/>
          <w:sz w:val="28"/>
          <w:u w:val="single"/>
          <w:lang w:val="lt-LT"/>
        </w:rPr>
        <w:t>Olandijoje 2012–2014 mokslo metais</w:t>
      </w:r>
      <w:r w:rsidRPr="00AA3B22">
        <w:rPr>
          <w:rFonts w:ascii="Calibri" w:hAnsi="Calibri"/>
          <w:sz w:val="28"/>
          <w:szCs w:val="22"/>
          <w:lang w:val="lt-LT"/>
        </w:rPr>
        <w:t xml:space="preserve">, </w:t>
      </w:r>
      <w:r w:rsidRPr="00AA3B22">
        <w:rPr>
          <w:rFonts w:ascii="Calibri" w:hAnsi="Calibri"/>
          <w:sz w:val="28"/>
          <w:szCs w:val="22"/>
          <w:u w:val="single"/>
          <w:lang w:val="lt-LT"/>
        </w:rPr>
        <w:t>pasitelkę</w:t>
      </w:r>
      <w:r w:rsidRPr="00AA3B22">
        <w:rPr>
          <w:rFonts w:ascii="Calibri" w:hAnsi="Calibri"/>
          <w:sz w:val="28"/>
          <w:szCs w:val="22"/>
          <w:lang w:val="lt-LT"/>
        </w:rPr>
        <w:t xml:space="preserve">  Olandijos psichikos sveikatos ir priklausomybių mokslinių tyrimų centrą „Trimbos </w:t>
      </w:r>
      <w:proofErr w:type="spellStart"/>
      <w:r w:rsidRPr="00AA3B22">
        <w:rPr>
          <w:rFonts w:ascii="Calibri" w:hAnsi="Calibri"/>
          <w:sz w:val="28"/>
          <w:szCs w:val="22"/>
          <w:lang w:val="lt-LT"/>
        </w:rPr>
        <w:t>instituut</w:t>
      </w:r>
      <w:proofErr w:type="spellEnd"/>
      <w:r w:rsidRPr="00AA3B22">
        <w:rPr>
          <w:rFonts w:ascii="Calibri" w:hAnsi="Calibri"/>
          <w:sz w:val="28"/>
          <w:szCs w:val="22"/>
          <w:lang w:val="lt-LT"/>
        </w:rPr>
        <w:t xml:space="preserve">“ (Trimbos institutas, Olandija), </w:t>
      </w:r>
      <w:r w:rsidRPr="00AA3B22">
        <w:rPr>
          <w:rFonts w:asciiTheme="minorHAnsi" w:hAnsiTheme="minorHAnsi"/>
          <w:sz w:val="28"/>
          <w:szCs w:val="22"/>
          <w:lang w:val="lt-LT"/>
        </w:rPr>
        <w:t xml:space="preserve">atliko išsamų dvejų metų (akademinių metų) prevencijos programų „Zipio draugai“ ir „Obuolio draugai“ įvertinimą. </w:t>
      </w:r>
    </w:p>
    <w:p w14:paraId="3AD75522" w14:textId="77777777" w:rsidR="00AA3B22" w:rsidRDefault="00AA3B22" w:rsidP="00AA3B22">
      <w:pPr>
        <w:pStyle w:val="BodyText2"/>
        <w:spacing w:line="240" w:lineRule="auto"/>
        <w:jc w:val="both"/>
        <w:rPr>
          <w:rFonts w:asciiTheme="minorHAnsi" w:hAnsiTheme="minorHAnsi"/>
          <w:sz w:val="22"/>
          <w:szCs w:val="22"/>
          <w:lang w:val="lt-LT"/>
        </w:rPr>
      </w:pPr>
    </w:p>
    <w:p w14:paraId="30F1DEAF" w14:textId="6B33BC9A" w:rsidR="00AA3B22" w:rsidRPr="00AA3B22" w:rsidRDefault="00AA3B22" w:rsidP="00AA3B22">
      <w:pPr>
        <w:pStyle w:val="BodyText2"/>
        <w:spacing w:after="240" w:line="240" w:lineRule="auto"/>
        <w:jc w:val="both"/>
        <w:rPr>
          <w:rFonts w:asciiTheme="minorHAnsi" w:hAnsiTheme="minorHAnsi" w:cstheme="minorHAnsi"/>
          <w:szCs w:val="22"/>
          <w:lang w:val="lt-LT"/>
        </w:rPr>
      </w:pPr>
      <w:r w:rsidRPr="00AA3B22">
        <w:rPr>
          <w:rFonts w:asciiTheme="minorHAnsi" w:hAnsiTheme="minorHAnsi"/>
          <w:szCs w:val="22"/>
          <w:lang w:val="lt-LT"/>
        </w:rPr>
        <w:t xml:space="preserve">Pasitelkiant grupinį kontroliuojamą atsitiktinių imčių tyrimą, buvo siekiama nustatyti programų poveikį vaikų socialiniams ir emociniams gebėjimams bei elgesio internalizavimo ir </w:t>
      </w:r>
      <w:proofErr w:type="spellStart"/>
      <w:r w:rsidRPr="00AA3B22">
        <w:rPr>
          <w:rFonts w:asciiTheme="minorHAnsi" w:hAnsiTheme="minorHAnsi"/>
          <w:szCs w:val="22"/>
          <w:lang w:val="lt-LT"/>
        </w:rPr>
        <w:t>eksternalizavimo</w:t>
      </w:r>
      <w:proofErr w:type="spellEnd"/>
      <w:r w:rsidRPr="00AA3B22">
        <w:rPr>
          <w:rFonts w:asciiTheme="minorHAnsi" w:hAnsiTheme="minorHAnsi"/>
          <w:szCs w:val="22"/>
          <w:lang w:val="lt-LT"/>
        </w:rPr>
        <w:t xml:space="preserve"> procesams; </w:t>
      </w:r>
      <w:proofErr w:type="spellStart"/>
      <w:r w:rsidRPr="00AA3B22">
        <w:rPr>
          <w:rFonts w:asciiTheme="minorHAnsi" w:hAnsiTheme="minorHAnsi" w:cstheme="minorHAnsi"/>
          <w:szCs w:val="22"/>
          <w:lang w:val="lt-LT"/>
        </w:rPr>
        <w:t>internalising</w:t>
      </w:r>
      <w:proofErr w:type="spellEnd"/>
      <w:r w:rsidRPr="00AA3B22">
        <w:rPr>
          <w:rFonts w:asciiTheme="minorHAnsi" w:hAnsiTheme="minorHAnsi" w:cstheme="minorHAnsi"/>
          <w:szCs w:val="22"/>
          <w:lang w:val="lt-LT"/>
        </w:rPr>
        <w:t xml:space="preserve"> and </w:t>
      </w:r>
      <w:proofErr w:type="spellStart"/>
      <w:r w:rsidRPr="00AA3B22">
        <w:rPr>
          <w:rFonts w:asciiTheme="minorHAnsi" w:hAnsiTheme="minorHAnsi" w:cstheme="minorHAnsi"/>
          <w:szCs w:val="22"/>
          <w:lang w:val="lt-LT"/>
        </w:rPr>
        <w:t>externalising</w:t>
      </w:r>
      <w:proofErr w:type="spellEnd"/>
      <w:r w:rsidRPr="00AA3B22">
        <w:rPr>
          <w:rFonts w:asciiTheme="minorHAnsi" w:hAnsiTheme="minorHAnsi" w:cstheme="minorHAnsi"/>
          <w:szCs w:val="22"/>
          <w:lang w:val="lt-LT"/>
        </w:rPr>
        <w:t xml:space="preserve"> </w:t>
      </w:r>
      <w:proofErr w:type="spellStart"/>
      <w:r w:rsidRPr="00AA3B22">
        <w:rPr>
          <w:rFonts w:asciiTheme="minorHAnsi" w:hAnsiTheme="minorHAnsi" w:cstheme="minorHAnsi"/>
          <w:szCs w:val="22"/>
          <w:lang w:val="lt-LT"/>
        </w:rPr>
        <w:t>behaviour</w:t>
      </w:r>
      <w:proofErr w:type="spellEnd"/>
      <w:r w:rsidRPr="00AA3B22">
        <w:rPr>
          <w:rFonts w:asciiTheme="minorHAnsi" w:hAnsiTheme="minorHAnsi" w:cstheme="minorHAnsi"/>
          <w:szCs w:val="22"/>
          <w:lang w:val="lt-LT"/>
        </w:rPr>
        <w:t>.</w:t>
      </w:r>
    </w:p>
    <w:p w14:paraId="49F8BD4F" w14:textId="77777777" w:rsidR="00AA3B22" w:rsidRPr="00AA3B22" w:rsidRDefault="00AA3B22" w:rsidP="00AA3B22">
      <w:pPr>
        <w:jc w:val="both"/>
        <w:rPr>
          <w:rFonts w:ascii="Calibri" w:hAnsi="Calibri"/>
        </w:rPr>
      </w:pPr>
      <w:r w:rsidRPr="00AA3B22">
        <w:rPr>
          <w:rFonts w:ascii="Calibri" w:hAnsi="Calibri"/>
        </w:rPr>
        <w:t>Tyrime dalyvavo apie 1200 vaikų, kurių amžiaus vidurkis buvo 6,9 metai. Kiek daugiau nei pusė imties (51%) buvo mergaitės ir 49% berniukai. Vaikai buvo tiriami trimis etapais:</w:t>
      </w:r>
    </w:p>
    <w:p w14:paraId="66836274" w14:textId="77777777" w:rsidR="00AA3B22" w:rsidRPr="00AA3B22" w:rsidRDefault="00AA3B22" w:rsidP="00AA3B22">
      <w:pPr>
        <w:pStyle w:val="ListParagraph"/>
        <w:numPr>
          <w:ilvl w:val="0"/>
          <w:numId w:val="1"/>
        </w:numPr>
        <w:jc w:val="both"/>
        <w:rPr>
          <w:rFonts w:ascii="Calibri" w:hAnsi="Calibri"/>
        </w:rPr>
      </w:pPr>
      <w:r w:rsidRPr="00AA3B22">
        <w:rPr>
          <w:rFonts w:ascii="Calibri" w:hAnsi="Calibri"/>
        </w:rPr>
        <w:t>prieš pradedant dalyvauti programose (prieš intervenciją);</w:t>
      </w:r>
    </w:p>
    <w:p w14:paraId="5964E56A" w14:textId="77777777" w:rsidR="00AA3B22" w:rsidRPr="00AA3B22" w:rsidRDefault="00AA3B22" w:rsidP="00AA3B22">
      <w:pPr>
        <w:pStyle w:val="Default"/>
        <w:numPr>
          <w:ilvl w:val="0"/>
          <w:numId w:val="1"/>
        </w:numPr>
        <w:ind w:left="714" w:hanging="357"/>
        <w:jc w:val="both"/>
        <w:rPr>
          <w:rFonts w:asciiTheme="minorHAnsi" w:hAnsiTheme="minorHAnsi"/>
          <w:color w:val="auto"/>
          <w:szCs w:val="22"/>
        </w:rPr>
      </w:pPr>
      <w:r w:rsidRPr="00AA3B22">
        <w:rPr>
          <w:rFonts w:asciiTheme="minorHAnsi" w:hAnsiTheme="minorHAnsi"/>
          <w:color w:val="auto"/>
          <w:szCs w:val="22"/>
        </w:rPr>
        <w:t xml:space="preserve">baigus „Zipio draugų“ programą (po intervencijos); </w:t>
      </w:r>
    </w:p>
    <w:p w14:paraId="0EC1F538" w14:textId="77777777" w:rsidR="00AA3B22" w:rsidRPr="00AA3B22" w:rsidRDefault="00AA3B22" w:rsidP="00AA3B22">
      <w:pPr>
        <w:pStyle w:val="Default"/>
        <w:numPr>
          <w:ilvl w:val="0"/>
          <w:numId w:val="1"/>
        </w:numPr>
        <w:spacing w:line="360" w:lineRule="auto"/>
        <w:jc w:val="both"/>
        <w:rPr>
          <w:rFonts w:asciiTheme="minorHAnsi" w:hAnsiTheme="minorHAnsi"/>
          <w:color w:val="auto"/>
          <w:szCs w:val="22"/>
        </w:rPr>
      </w:pPr>
      <w:r w:rsidRPr="00AA3B22">
        <w:rPr>
          <w:rFonts w:asciiTheme="minorHAnsi" w:hAnsiTheme="minorHAnsi"/>
          <w:color w:val="auto"/>
          <w:szCs w:val="22"/>
        </w:rPr>
        <w:t xml:space="preserve">baigus „Obuolio draugų“ programą (po 12 mėnesių po antrojo etapo / „Zipio draugų“ programos) </w:t>
      </w:r>
    </w:p>
    <w:p w14:paraId="41E9136D" w14:textId="77777777" w:rsidR="00AA3B22" w:rsidRPr="00AA3B22" w:rsidRDefault="00AA3B22" w:rsidP="00AA3B22">
      <w:pPr>
        <w:pStyle w:val="Default"/>
        <w:spacing w:after="240"/>
        <w:jc w:val="both"/>
        <w:rPr>
          <w:rFonts w:asciiTheme="minorHAnsi" w:hAnsiTheme="minorHAnsi"/>
          <w:color w:val="auto"/>
          <w:szCs w:val="22"/>
        </w:rPr>
      </w:pPr>
      <w:r w:rsidRPr="00AA3B22">
        <w:rPr>
          <w:rFonts w:asciiTheme="minorHAnsi" w:hAnsiTheme="minorHAnsi"/>
          <w:color w:val="auto"/>
          <w:szCs w:val="22"/>
        </w:rPr>
        <w:t>Buvo atliekama daugiapakopė analizė, kuri buvo kontroliuojama grupių lygmeniu, buvo naudojama siekiant nustatyti programos poveikį per dvejų metų mokymosi laikotarpį.</w:t>
      </w:r>
    </w:p>
    <w:p w14:paraId="259B0B46" w14:textId="77777777" w:rsidR="00AA3B22" w:rsidRPr="00AA3B22" w:rsidRDefault="00AA3B22" w:rsidP="00AA3B22">
      <w:pPr>
        <w:spacing w:after="240"/>
        <w:jc w:val="both"/>
        <w:rPr>
          <w:rFonts w:asciiTheme="minorHAnsi" w:hAnsiTheme="minorHAnsi" w:cstheme="minorHAnsi"/>
          <w:szCs w:val="23"/>
        </w:rPr>
      </w:pPr>
      <w:r w:rsidRPr="00AA3B22">
        <w:rPr>
          <w:rFonts w:asciiTheme="minorHAnsi" w:hAnsiTheme="minorHAnsi" w:cstheme="minorHAnsi"/>
          <w:szCs w:val="23"/>
        </w:rPr>
        <w:t>Šio tyrimo rezultatai yra teigiami, nes tiek vaiko, tiek tėvų užpildytų apklausos priemonių ataskaitos rodo teigiamą poveikį vaiko socialiniams ir emociniams gebėjimams bei elgesio. Vaikų užpildytų klausimynų ataskaitų rezultatai parodė, kad žymiai pagerėjo vaikų emocijų atpažinimo gebėjimai ir adaptyvieji sunkumų įveikimo gebėjimai (</w:t>
      </w:r>
      <w:proofErr w:type="spellStart"/>
      <w:r w:rsidRPr="00AA3B22">
        <w:rPr>
          <w:rFonts w:asciiTheme="minorHAnsi" w:hAnsiTheme="minorHAnsi" w:cstheme="minorHAnsi"/>
          <w:i/>
          <w:szCs w:val="23"/>
        </w:rPr>
        <w:t>adaptive</w:t>
      </w:r>
      <w:proofErr w:type="spellEnd"/>
      <w:r w:rsidRPr="00AA3B22">
        <w:rPr>
          <w:rFonts w:asciiTheme="minorHAnsi" w:hAnsiTheme="minorHAnsi" w:cstheme="minorHAnsi"/>
          <w:i/>
          <w:szCs w:val="23"/>
        </w:rPr>
        <w:t xml:space="preserve"> </w:t>
      </w:r>
      <w:proofErr w:type="spellStart"/>
      <w:r w:rsidRPr="00AA3B22">
        <w:rPr>
          <w:rFonts w:asciiTheme="minorHAnsi" w:hAnsiTheme="minorHAnsi" w:cstheme="minorHAnsi"/>
          <w:i/>
          <w:szCs w:val="23"/>
        </w:rPr>
        <w:t>coping</w:t>
      </w:r>
      <w:proofErr w:type="spellEnd"/>
      <w:r w:rsidRPr="00AA3B22">
        <w:rPr>
          <w:rFonts w:asciiTheme="minorHAnsi" w:hAnsiTheme="minorHAnsi" w:cstheme="minorHAnsi"/>
          <w:i/>
          <w:szCs w:val="23"/>
        </w:rPr>
        <w:t xml:space="preserve"> skills</w:t>
      </w:r>
      <w:r w:rsidRPr="00AA3B22">
        <w:rPr>
          <w:rFonts w:asciiTheme="minorHAnsi" w:hAnsiTheme="minorHAnsi" w:cstheme="minorHAnsi"/>
          <w:szCs w:val="23"/>
        </w:rPr>
        <w:t>).</w:t>
      </w:r>
    </w:p>
    <w:p w14:paraId="480C4BA1" w14:textId="77777777" w:rsidR="00AA3B22" w:rsidRPr="00AA3B22" w:rsidRDefault="00AA3B22" w:rsidP="00AA3B22">
      <w:pPr>
        <w:pStyle w:val="Default"/>
        <w:spacing w:after="240"/>
        <w:jc w:val="both"/>
        <w:rPr>
          <w:rFonts w:asciiTheme="minorHAnsi" w:hAnsiTheme="minorHAnsi"/>
          <w:color w:val="auto"/>
          <w:szCs w:val="23"/>
        </w:rPr>
      </w:pPr>
      <w:r w:rsidRPr="00AA3B22">
        <w:rPr>
          <w:rFonts w:asciiTheme="minorHAnsi" w:hAnsiTheme="minorHAnsi" w:cstheme="minorHAnsi"/>
          <w:color w:val="auto"/>
          <w:szCs w:val="23"/>
        </w:rPr>
        <w:lastRenderedPageBreak/>
        <w:t>Tėvai taip pat pastebėjo vaikų socialinių ir emocinių gebėjimų pagerėjimą. Visų pirma, sustiprėjusią motyvaciją ir sumažėjusią elgesio eksternalizacijos problemą (</w:t>
      </w:r>
      <w:proofErr w:type="spellStart"/>
      <w:r w:rsidRPr="00AA3B22">
        <w:rPr>
          <w:rFonts w:asciiTheme="minorHAnsi" w:hAnsiTheme="minorHAnsi" w:cstheme="minorHAnsi"/>
          <w:i/>
          <w:color w:val="auto"/>
          <w:szCs w:val="23"/>
        </w:rPr>
        <w:t>externalising</w:t>
      </w:r>
      <w:proofErr w:type="spellEnd"/>
      <w:r w:rsidRPr="00AA3B22">
        <w:rPr>
          <w:rFonts w:asciiTheme="minorHAnsi" w:hAnsiTheme="minorHAnsi" w:cstheme="minorHAnsi"/>
          <w:i/>
          <w:color w:val="auto"/>
          <w:szCs w:val="23"/>
        </w:rPr>
        <w:t xml:space="preserve"> </w:t>
      </w:r>
      <w:proofErr w:type="spellStart"/>
      <w:r w:rsidRPr="00AA3B22">
        <w:rPr>
          <w:rFonts w:asciiTheme="minorHAnsi" w:hAnsiTheme="minorHAnsi" w:cstheme="minorHAnsi"/>
          <w:i/>
          <w:color w:val="auto"/>
          <w:szCs w:val="23"/>
        </w:rPr>
        <w:t>behaviour</w:t>
      </w:r>
      <w:proofErr w:type="spellEnd"/>
      <w:r w:rsidRPr="00AA3B22">
        <w:rPr>
          <w:rFonts w:asciiTheme="minorHAnsi" w:hAnsiTheme="minorHAnsi" w:cstheme="minorHAnsi"/>
          <w:i/>
          <w:color w:val="auto"/>
          <w:szCs w:val="23"/>
        </w:rPr>
        <w:t xml:space="preserve"> </w:t>
      </w:r>
      <w:proofErr w:type="spellStart"/>
      <w:r w:rsidRPr="00AA3B22">
        <w:rPr>
          <w:rFonts w:asciiTheme="minorHAnsi" w:hAnsiTheme="minorHAnsi" w:cstheme="minorHAnsi"/>
          <w:i/>
          <w:color w:val="auto"/>
          <w:szCs w:val="23"/>
        </w:rPr>
        <w:t>problems</w:t>
      </w:r>
      <w:proofErr w:type="spellEnd"/>
      <w:r w:rsidRPr="00AA3B22">
        <w:rPr>
          <w:rFonts w:asciiTheme="minorHAnsi" w:hAnsiTheme="minorHAnsi" w:cstheme="minorHAnsi"/>
          <w:color w:val="auto"/>
          <w:szCs w:val="23"/>
        </w:rPr>
        <w:t xml:space="preserve">), įskaitant hiperaktyvumą ir agresyvų elgesį. </w:t>
      </w:r>
      <w:r w:rsidRPr="00AA3B22">
        <w:rPr>
          <w:rFonts w:asciiTheme="minorHAnsi" w:hAnsiTheme="minorHAnsi"/>
          <w:color w:val="auto"/>
          <w:szCs w:val="23"/>
        </w:rPr>
        <w:t>Remiantis tėvų ir mokytojų atsakymais, intervencijos grupėje pagerėjo vaikų socialiniai ir emociniai gebėjimai (savimonė, savireguliacija, motyvacija, socialiniai įgūdžiai, emocinis reguliavimas) ir sumažėjo probleminis elgesys (pagerėjo socialinis bendradarbiavimas, socialiniai įgūdžiai, sumažėjo nenuspėjamas elgesys (</w:t>
      </w:r>
      <w:proofErr w:type="spellStart"/>
      <w:r w:rsidRPr="00AA3B22">
        <w:rPr>
          <w:rFonts w:asciiTheme="minorHAnsi" w:hAnsiTheme="minorHAnsi"/>
          <w:i/>
          <w:color w:val="auto"/>
          <w:szCs w:val="23"/>
        </w:rPr>
        <w:t>explosive</w:t>
      </w:r>
      <w:proofErr w:type="spellEnd"/>
      <w:r w:rsidRPr="00AA3B22">
        <w:rPr>
          <w:rFonts w:asciiTheme="minorHAnsi" w:hAnsiTheme="minorHAnsi"/>
          <w:i/>
          <w:color w:val="auto"/>
          <w:szCs w:val="23"/>
        </w:rPr>
        <w:t xml:space="preserve"> </w:t>
      </w:r>
      <w:proofErr w:type="spellStart"/>
      <w:r w:rsidRPr="00AA3B22">
        <w:rPr>
          <w:rFonts w:asciiTheme="minorHAnsi" w:hAnsiTheme="minorHAnsi"/>
          <w:i/>
          <w:color w:val="auto"/>
          <w:szCs w:val="23"/>
        </w:rPr>
        <w:t>behaviour</w:t>
      </w:r>
      <w:proofErr w:type="spellEnd"/>
      <w:r w:rsidRPr="00AA3B22">
        <w:rPr>
          <w:rFonts w:asciiTheme="minorHAnsi" w:hAnsiTheme="minorHAnsi"/>
          <w:color w:val="auto"/>
          <w:szCs w:val="23"/>
        </w:rPr>
        <w:t>), susikaupimo problemos / pernelyg aktyvus elgesys, eksternalizacijos problemos),  palyginti su programose nedalyvavusiais vaikais(prieš intervenciją, 1-as tyrimo etapas).</w:t>
      </w:r>
    </w:p>
    <w:p w14:paraId="1ABE391B" w14:textId="77777777" w:rsidR="00AA3B22" w:rsidRPr="00AA3B22" w:rsidRDefault="00AA3B22" w:rsidP="00AA3B22">
      <w:pPr>
        <w:spacing w:after="240"/>
        <w:jc w:val="both"/>
        <w:rPr>
          <w:rFonts w:asciiTheme="minorHAnsi" w:hAnsiTheme="minorHAnsi" w:cstheme="minorHAnsi"/>
        </w:rPr>
      </w:pPr>
      <w:r w:rsidRPr="00AA3B22">
        <w:rPr>
          <w:rFonts w:asciiTheme="minorHAnsi" w:hAnsiTheme="minorHAnsi" w:cstheme="minorHAnsi"/>
        </w:rPr>
        <w:t>Šis tyrimas rodo, kad programos „Zipio draugai“ ir „Obuolio draugai“ teigiamai įtakoja vaikų socialines emocines kompetencijas ir elgesio problemas. Tai patvirtina, kad dalyvavimas šiose programose pagerina vaikų socialinę ir emocinę raidą.</w:t>
      </w:r>
    </w:p>
    <w:p w14:paraId="0EA17D94" w14:textId="77777777" w:rsidR="00AA3B22" w:rsidRPr="00AA3B22" w:rsidRDefault="00AA3B22" w:rsidP="00AA3B22">
      <w:pPr>
        <w:spacing w:after="240"/>
        <w:jc w:val="both"/>
        <w:rPr>
          <w:rFonts w:asciiTheme="minorHAnsi" w:hAnsiTheme="minorHAnsi" w:cstheme="minorHAnsi"/>
        </w:rPr>
      </w:pPr>
      <w:r w:rsidRPr="00AA3B22">
        <w:rPr>
          <w:rFonts w:asciiTheme="minorHAnsi" w:hAnsiTheme="minorHAnsi" w:cstheme="minorHAnsi"/>
        </w:rPr>
        <w:t>Trimbos instituto tyrimo rezultatai patvirtina ankstesnių programos „Zipio draugai“ vertinimų išvadas. Ankstesniuose Norvegijoje atliktuose tyrimuose ir Airijoje buvo pastebėta, kad gerokai pagerėjo vaikų sunkumų įveikimo strategijos, emocinio raštingumo gebėjimai, įskaitant savimonę, savireguliaciją, motyvaciją ir socialinius įgūdžius ir žymiai sumažėjo psichinės sveikatos sunkumų (</w:t>
      </w:r>
      <w:proofErr w:type="spellStart"/>
      <w:r w:rsidRPr="00AA3B22">
        <w:rPr>
          <w:rFonts w:asciiTheme="minorHAnsi" w:hAnsiTheme="minorHAnsi" w:cstheme="minorHAnsi"/>
          <w:i/>
        </w:rPr>
        <w:t>difficulties</w:t>
      </w:r>
      <w:proofErr w:type="spellEnd"/>
      <w:r w:rsidRPr="00AA3B22">
        <w:rPr>
          <w:rFonts w:asciiTheme="minorHAnsi" w:hAnsiTheme="minorHAnsi" w:cstheme="minorHAnsi"/>
        </w:rPr>
        <w:t>). Airijos tyrimo rezultatai rodo, kad reikšmingas teigiamas programos poveikis vaikų emocinio raštingumo gebėjimams buvo išlaikytas ir po 12 mėnesių.  Platesni Norvegijoje atlikto tyrimo duomenys nurodė, kad: pagerėjo socialinis klimatas klasėje (</w:t>
      </w:r>
      <w:proofErr w:type="spellStart"/>
      <w:r w:rsidRPr="00AA3B22">
        <w:rPr>
          <w:rFonts w:asciiTheme="minorHAnsi" w:hAnsiTheme="minorHAnsi" w:cstheme="minorHAnsi"/>
          <w:i/>
        </w:rPr>
        <w:t>social</w:t>
      </w:r>
      <w:proofErr w:type="spellEnd"/>
      <w:r w:rsidRPr="00AA3B22">
        <w:rPr>
          <w:rFonts w:asciiTheme="minorHAnsi" w:hAnsiTheme="minorHAnsi" w:cstheme="minorHAnsi"/>
          <w:i/>
        </w:rPr>
        <w:t xml:space="preserve"> </w:t>
      </w:r>
      <w:proofErr w:type="spellStart"/>
      <w:r w:rsidRPr="00AA3B22">
        <w:rPr>
          <w:rFonts w:asciiTheme="minorHAnsi" w:hAnsiTheme="minorHAnsi" w:cstheme="minorHAnsi"/>
          <w:i/>
        </w:rPr>
        <w:t>climate</w:t>
      </w:r>
      <w:proofErr w:type="spellEnd"/>
      <w:r w:rsidRPr="00AA3B22">
        <w:rPr>
          <w:rFonts w:asciiTheme="minorHAnsi" w:hAnsiTheme="minorHAnsi" w:cstheme="minorHAnsi"/>
        </w:rPr>
        <w:t>), sumažėjo patyčių ir pagerėjo akademinis elgesys (</w:t>
      </w:r>
      <w:proofErr w:type="spellStart"/>
      <w:r w:rsidRPr="00AA3B22">
        <w:rPr>
          <w:rFonts w:asciiTheme="minorHAnsi" w:hAnsiTheme="minorHAnsi" w:cstheme="minorHAnsi"/>
          <w:i/>
        </w:rPr>
        <w:t>academic</w:t>
      </w:r>
      <w:proofErr w:type="spellEnd"/>
      <w:r w:rsidRPr="00AA3B22">
        <w:rPr>
          <w:rFonts w:asciiTheme="minorHAnsi" w:hAnsiTheme="minorHAnsi" w:cstheme="minorHAnsi"/>
          <w:i/>
        </w:rPr>
        <w:t xml:space="preserve"> </w:t>
      </w:r>
      <w:proofErr w:type="spellStart"/>
      <w:r w:rsidRPr="00AA3B22">
        <w:rPr>
          <w:rFonts w:asciiTheme="minorHAnsi" w:hAnsiTheme="minorHAnsi" w:cstheme="minorHAnsi"/>
          <w:i/>
        </w:rPr>
        <w:t>behaviour</w:t>
      </w:r>
      <w:proofErr w:type="spellEnd"/>
      <w:r w:rsidRPr="00AA3B22">
        <w:rPr>
          <w:rFonts w:asciiTheme="minorHAnsi" w:hAnsiTheme="minorHAnsi" w:cstheme="minorHAnsi"/>
        </w:rPr>
        <w:t xml:space="preserve">). </w:t>
      </w:r>
    </w:p>
    <w:p w14:paraId="645B5627" w14:textId="5D76CD86" w:rsidR="00AA3B22" w:rsidRDefault="00AA3B22" w:rsidP="00AA3B22">
      <w:pPr>
        <w:spacing w:after="240"/>
        <w:jc w:val="both"/>
        <w:rPr>
          <w:rFonts w:asciiTheme="minorHAnsi" w:hAnsiTheme="minorHAnsi"/>
          <w:szCs w:val="23"/>
        </w:rPr>
      </w:pPr>
      <w:r w:rsidRPr="00AA3B22">
        <w:rPr>
          <w:rFonts w:asciiTheme="minorHAnsi" w:hAnsiTheme="minorHAnsi" w:cstheme="minorHAnsi"/>
        </w:rPr>
        <w:t xml:space="preserve">Olandų Trimbos instituto atlikto tyrimo rezultatai suteikia papildomos informacijos apie programų „Zipio draugų“ ir „Obuolio draugai“ veiksmingumą. Be to, tai yra pirmasis tyrimas, įtraukęs „Obuolio draugų“ programą kaip dalį vertinimo, naudojant kontroliuojamą atsitiktinių imčių tyrimą, kuris davė daug žadančių rezultatų, nurodančių tolimesnių bendro abiejų programų poveikio tyrimo poreikį. Jie taip pat parodė, kad </w:t>
      </w:r>
      <w:r w:rsidRPr="00AA3B22">
        <w:rPr>
          <w:rFonts w:asciiTheme="minorHAnsi" w:hAnsiTheme="minorHAnsi"/>
          <w:szCs w:val="23"/>
        </w:rPr>
        <w:t>(i) programa „Zipio draugai“ yra veiksmingesnė vyresniems vaikams ir/arba, kad (ii) „Zipio draugai“ yra veiksmingesnė, kai yra įgyvendinama kartu su „Obuolio draugais“.</w:t>
      </w:r>
    </w:p>
    <w:p w14:paraId="3AD27161" w14:textId="52E9FEEC" w:rsidR="003E5E7F" w:rsidRDefault="003E5E7F" w:rsidP="003E5E7F">
      <w:pPr>
        <w:ind w:right="-144"/>
        <w:jc w:val="both"/>
        <w:rPr>
          <w:rFonts w:asciiTheme="minorHAnsi" w:hAnsiTheme="minorHAnsi" w:cstheme="minorHAnsi"/>
          <w:i/>
          <w:iCs/>
          <w:sz w:val="22"/>
        </w:rPr>
      </w:pPr>
    </w:p>
    <w:p w14:paraId="75E57D32" w14:textId="77777777" w:rsidR="00ED2390" w:rsidRDefault="00ED2390" w:rsidP="003E5E7F">
      <w:pPr>
        <w:ind w:right="-144"/>
        <w:jc w:val="both"/>
        <w:rPr>
          <w:rFonts w:asciiTheme="minorHAnsi" w:hAnsiTheme="minorHAnsi" w:cstheme="minorHAnsi"/>
          <w:i/>
          <w:iCs/>
          <w:sz w:val="22"/>
        </w:rPr>
      </w:pPr>
      <w:bookmarkStart w:id="0" w:name="_GoBack"/>
      <w:bookmarkEnd w:id="0"/>
    </w:p>
    <w:p w14:paraId="614423AC" w14:textId="3BEE2A1D" w:rsidR="003E5E7F" w:rsidRPr="008D1C26" w:rsidRDefault="003E5E7F" w:rsidP="003E5E7F">
      <w:pPr>
        <w:ind w:right="-144"/>
        <w:jc w:val="both"/>
        <w:rPr>
          <w:rFonts w:asciiTheme="minorHAnsi" w:hAnsiTheme="minorHAnsi" w:cstheme="minorHAnsi"/>
          <w:i/>
          <w:sz w:val="22"/>
        </w:rPr>
      </w:pPr>
      <w:r w:rsidRPr="008D1C26">
        <w:rPr>
          <w:rFonts w:asciiTheme="minorHAnsi" w:hAnsiTheme="minorHAnsi" w:cstheme="minorHAnsi"/>
          <w:i/>
          <w:iCs/>
          <w:sz w:val="22"/>
        </w:rPr>
        <w:t xml:space="preserve">Tyrimo apibendrinimą </w:t>
      </w:r>
      <w:r w:rsidRPr="00AA3B22">
        <w:rPr>
          <w:rFonts w:asciiTheme="minorHAnsi" w:hAnsiTheme="minorHAnsi"/>
          <w:sz w:val="22"/>
          <w:szCs w:val="23"/>
        </w:rPr>
        <w:t xml:space="preserve">pagal Partnership for Children parengtą Trimbos Instituto tyrimo santrauką </w:t>
      </w:r>
      <w:r w:rsidRPr="008D1C26">
        <w:rPr>
          <w:rFonts w:asciiTheme="minorHAnsi" w:hAnsiTheme="minorHAnsi" w:cstheme="minorHAnsi"/>
          <w:i/>
          <w:iCs/>
          <w:sz w:val="22"/>
        </w:rPr>
        <w:t xml:space="preserve">parengė </w:t>
      </w:r>
      <w:r w:rsidRPr="008D1C26">
        <w:rPr>
          <w:rFonts w:asciiTheme="minorHAnsi" w:hAnsiTheme="minorHAnsi" w:cstheme="minorHAnsi"/>
          <w:i/>
          <w:sz w:val="22"/>
        </w:rPr>
        <w:t xml:space="preserve"> </w:t>
      </w:r>
    </w:p>
    <w:p w14:paraId="7ABA91F4" w14:textId="46DC3D4F" w:rsidR="00AA3B22" w:rsidRPr="00AA3B22" w:rsidRDefault="00AA3B22" w:rsidP="00AA3B22">
      <w:pPr>
        <w:jc w:val="both"/>
        <w:rPr>
          <w:rFonts w:asciiTheme="minorHAnsi" w:hAnsiTheme="minorHAnsi"/>
          <w:i/>
          <w:sz w:val="22"/>
          <w:szCs w:val="23"/>
        </w:rPr>
      </w:pPr>
      <w:r w:rsidRPr="00AA3B22">
        <w:rPr>
          <w:rFonts w:asciiTheme="minorHAnsi" w:hAnsiTheme="minorHAnsi"/>
          <w:i/>
          <w:sz w:val="22"/>
          <w:szCs w:val="23"/>
        </w:rPr>
        <w:t>Aurelija Okunauskienė</w:t>
      </w:r>
    </w:p>
    <w:p w14:paraId="70ECCF2C" w14:textId="36545DB9" w:rsidR="00AA3B22" w:rsidRPr="003A7A2E" w:rsidRDefault="00AA3B22" w:rsidP="003E5E7F">
      <w:pPr>
        <w:spacing w:after="240"/>
        <w:jc w:val="both"/>
        <w:rPr>
          <w:rFonts w:asciiTheme="minorHAnsi" w:hAnsiTheme="minorHAnsi"/>
          <w:i/>
          <w:iCs/>
          <w:color w:val="141823"/>
          <w:sz w:val="22"/>
        </w:rPr>
      </w:pPr>
      <w:r w:rsidRPr="00AA3B22">
        <w:rPr>
          <w:rFonts w:asciiTheme="minorHAnsi" w:hAnsiTheme="minorHAnsi"/>
          <w:sz w:val="22"/>
          <w:szCs w:val="23"/>
        </w:rPr>
        <w:t xml:space="preserve">VšĮ „Vaiko labui“ vadovė </w:t>
      </w:r>
      <w:r>
        <w:rPr>
          <w:rFonts w:asciiTheme="minorHAnsi" w:hAnsiTheme="minorHAnsi" w:cstheme="minorHAnsi"/>
          <w:i/>
          <w:noProof/>
          <w:sz w:val="28"/>
        </w:rPr>
        <mc:AlternateContent>
          <mc:Choice Requires="wps">
            <w:drawing>
              <wp:anchor distT="0" distB="0" distL="114300" distR="114300" simplePos="0" relativeHeight="251662336" behindDoc="1" locked="0" layoutInCell="1" allowOverlap="1" wp14:anchorId="2E567405" wp14:editId="45ADA501">
                <wp:simplePos x="0" y="0"/>
                <wp:positionH relativeFrom="margin">
                  <wp:posOffset>-160959</wp:posOffset>
                </wp:positionH>
                <wp:positionV relativeFrom="paragraph">
                  <wp:posOffset>227137</wp:posOffset>
                </wp:positionV>
                <wp:extent cx="1089329" cy="1113182"/>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9329" cy="1113182"/>
                        </a:xfrm>
                        <a:prstGeom prst="rect">
                          <a:avLst/>
                        </a:prstGeom>
                        <a:solidFill>
                          <a:schemeClr val="lt1"/>
                        </a:solidFill>
                        <a:ln w="6350">
                          <a:noFill/>
                        </a:ln>
                      </wps:spPr>
                      <wps:txbx>
                        <w:txbxContent>
                          <w:p w14:paraId="026F3607" w14:textId="77777777" w:rsidR="00AA3B22" w:rsidRDefault="00AA3B22" w:rsidP="00AA3B22">
                            <w:r>
                              <w:rPr>
                                <w:noProof/>
                              </w:rPr>
                              <w:drawing>
                                <wp:inline distT="0" distB="0" distL="0" distR="0" wp14:anchorId="48768F16" wp14:editId="075C09B3">
                                  <wp:extent cx="763325" cy="94812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Vaiko_labui_LOGO_mazas.jpg"/>
                                          <pic:cNvPicPr/>
                                        </pic:nvPicPr>
                                        <pic:blipFill>
                                          <a:blip r:embed="rId8">
                                            <a:extLst>
                                              <a:ext uri="{28A0092B-C50C-407E-A947-70E740481C1C}">
                                                <a14:useLocalDpi xmlns:a14="http://schemas.microsoft.com/office/drawing/2010/main" val="0"/>
                                              </a:ext>
                                            </a:extLst>
                                          </a:blip>
                                          <a:stretch>
                                            <a:fillRect/>
                                          </a:stretch>
                                        </pic:blipFill>
                                        <pic:spPr>
                                          <a:xfrm>
                                            <a:off x="0" y="0"/>
                                            <a:ext cx="767955" cy="95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67405" id="Text Box 6" o:spid="_x0000_s1028" type="#_x0000_t202" style="position:absolute;left:0;text-align:left;margin-left:-12.65pt;margin-top:17.9pt;width:85.75pt;height:87.6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" fillcolor="white [3201]" stroked="f" strokeweight=".5pt">
                <v:textbox>
                  <w:txbxContent>
                    <w:p w14:paraId="026F3607" w14:textId="77777777" w:rsidR="00AA3B22" w:rsidRDefault="00AA3B22" w:rsidP="00AA3B22">
                      <w:r>
                        <w:rPr>
                          <w:noProof/>
                        </w:rPr>
                        <w:drawing>
                          <wp:inline distT="0" distB="0" distL="0" distR="0" wp14:anchorId="48768F16" wp14:editId="075C09B3">
                            <wp:extent cx="763325" cy="94812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Vaiko_labui_LOGO_mazas.jpg"/>
                                    <pic:cNvPicPr/>
                                  </pic:nvPicPr>
                                  <pic:blipFill>
                                    <a:blip r:embed="rId8">
                                      <a:extLst>
                                        <a:ext uri="{28A0092B-C50C-407E-A947-70E740481C1C}">
                                          <a14:useLocalDpi xmlns:a14="http://schemas.microsoft.com/office/drawing/2010/main" val="0"/>
                                        </a:ext>
                                      </a:extLst>
                                    </a:blip>
                                    <a:stretch>
                                      <a:fillRect/>
                                    </a:stretch>
                                  </pic:blipFill>
                                  <pic:spPr>
                                    <a:xfrm>
                                      <a:off x="0" y="0"/>
                                      <a:ext cx="767955" cy="953880"/>
                                    </a:xfrm>
                                    <a:prstGeom prst="rect">
                                      <a:avLst/>
                                    </a:prstGeom>
                                  </pic:spPr>
                                </pic:pic>
                              </a:graphicData>
                            </a:graphic>
                          </wp:inline>
                        </w:drawing>
                      </w:r>
                    </w:p>
                  </w:txbxContent>
                </v:textbox>
                <w10:wrap anchorx="margin"/>
              </v:shape>
            </w:pict>
          </mc:Fallback>
        </mc:AlternateContent>
      </w:r>
      <w:r>
        <w:rPr>
          <w:rFonts w:asciiTheme="minorHAnsi" w:hAnsiTheme="minorHAnsi" w:cstheme="minorHAnsi"/>
          <w:sz w:val="22"/>
        </w:rPr>
        <w:t xml:space="preserve">  </w:t>
      </w:r>
    </w:p>
    <w:p w14:paraId="7EDA1E40" w14:textId="77777777" w:rsidR="003E5E7F" w:rsidRPr="003E5E7F" w:rsidRDefault="003E5E7F" w:rsidP="003E5E7F">
      <w:pPr>
        <w:spacing w:line="240" w:lineRule="exact"/>
        <w:ind w:left="1276"/>
        <w:jc w:val="both"/>
        <w:rPr>
          <w:rFonts w:asciiTheme="minorHAnsi" w:hAnsiTheme="minorHAnsi" w:cstheme="minorHAnsi"/>
          <w:sz w:val="20"/>
        </w:rPr>
      </w:pPr>
      <w:r w:rsidRPr="003E5E7F">
        <w:rPr>
          <w:rFonts w:asciiTheme="minorHAnsi" w:hAnsiTheme="minorHAnsi" w:cstheme="minorHAnsi"/>
          <w:sz w:val="20"/>
        </w:rPr>
        <w:t xml:space="preserve">Šv. Ignoto g. 5, </w:t>
      </w:r>
    </w:p>
    <w:p w14:paraId="1239F365" w14:textId="543B37D7" w:rsidR="003E5E7F" w:rsidRPr="003E5E7F" w:rsidRDefault="003E5E7F" w:rsidP="003E5E7F">
      <w:pPr>
        <w:spacing w:line="240" w:lineRule="exact"/>
        <w:ind w:left="1276"/>
        <w:jc w:val="both"/>
        <w:rPr>
          <w:rFonts w:asciiTheme="minorHAnsi" w:hAnsiTheme="minorHAnsi" w:cstheme="minorHAnsi"/>
          <w:color w:val="0000FF"/>
          <w:sz w:val="20"/>
          <w:u w:val="single"/>
        </w:rPr>
      </w:pPr>
      <w:r w:rsidRPr="003E5E7F">
        <w:rPr>
          <w:rFonts w:asciiTheme="minorHAnsi" w:hAnsiTheme="minorHAnsi" w:cstheme="minorHAnsi"/>
          <w:sz w:val="20"/>
        </w:rPr>
        <w:t>01144 Vilnius</w:t>
      </w:r>
    </w:p>
    <w:p w14:paraId="1C36FE66" w14:textId="77777777" w:rsidR="003E5E7F" w:rsidRPr="003E5E7F" w:rsidRDefault="00AA3B22" w:rsidP="00AA3B22">
      <w:pPr>
        <w:spacing w:line="240" w:lineRule="exact"/>
        <w:ind w:left="1276"/>
        <w:jc w:val="both"/>
        <w:rPr>
          <w:rFonts w:asciiTheme="minorHAnsi" w:hAnsiTheme="minorHAnsi" w:cstheme="minorHAnsi"/>
          <w:sz w:val="20"/>
        </w:rPr>
      </w:pPr>
      <w:r w:rsidRPr="003E5E7F">
        <w:rPr>
          <w:rFonts w:asciiTheme="minorHAnsi" w:hAnsiTheme="minorHAnsi" w:cstheme="minorHAnsi"/>
          <w:sz w:val="20"/>
        </w:rPr>
        <w:t>tel. 8 (5) 21 21</w:t>
      </w:r>
      <w:r w:rsidR="003E5E7F" w:rsidRPr="003E5E7F">
        <w:rPr>
          <w:rFonts w:asciiTheme="minorHAnsi" w:hAnsiTheme="minorHAnsi" w:cstheme="minorHAnsi"/>
          <w:sz w:val="20"/>
        </w:rPr>
        <w:t> </w:t>
      </w:r>
      <w:r w:rsidRPr="003E5E7F">
        <w:rPr>
          <w:rFonts w:asciiTheme="minorHAnsi" w:hAnsiTheme="minorHAnsi" w:cstheme="minorHAnsi"/>
          <w:sz w:val="20"/>
        </w:rPr>
        <w:t xml:space="preserve">407 </w:t>
      </w:r>
    </w:p>
    <w:p w14:paraId="1336FCFD" w14:textId="27E1CB0A" w:rsidR="00AA3B22" w:rsidRPr="003E5E7F" w:rsidRDefault="00AA3B22" w:rsidP="00AA3B22">
      <w:pPr>
        <w:spacing w:line="240" w:lineRule="exact"/>
        <w:ind w:left="1276"/>
        <w:jc w:val="both"/>
        <w:rPr>
          <w:rFonts w:asciiTheme="minorHAnsi" w:hAnsiTheme="minorHAnsi" w:cstheme="minorHAnsi"/>
          <w:sz w:val="20"/>
        </w:rPr>
      </w:pPr>
      <w:r w:rsidRPr="003E5E7F">
        <w:rPr>
          <w:rFonts w:asciiTheme="minorHAnsi" w:hAnsiTheme="minorHAnsi" w:cstheme="minorHAnsi"/>
          <w:sz w:val="20"/>
        </w:rPr>
        <w:t>arba  mob. +370 (699) 20 223</w:t>
      </w:r>
    </w:p>
    <w:p w14:paraId="3F943620" w14:textId="04CA58A3" w:rsidR="00AA3B22" w:rsidRPr="003E5E7F" w:rsidRDefault="00AA3B22" w:rsidP="00AA3B22">
      <w:pPr>
        <w:spacing w:line="240" w:lineRule="exact"/>
        <w:ind w:left="1276"/>
        <w:jc w:val="both"/>
        <w:rPr>
          <w:rStyle w:val="Hyperlink"/>
          <w:rFonts w:asciiTheme="minorHAnsi" w:hAnsiTheme="minorHAnsi" w:cstheme="minorHAnsi"/>
          <w:sz w:val="20"/>
          <w:lang w:val="en-US"/>
        </w:rPr>
      </w:pPr>
      <w:r w:rsidRPr="003E5E7F">
        <w:rPr>
          <w:rFonts w:asciiTheme="minorHAnsi" w:hAnsiTheme="minorHAnsi" w:cstheme="minorHAnsi"/>
          <w:sz w:val="20"/>
        </w:rPr>
        <w:t>el. paštas </w:t>
      </w:r>
      <w:hyperlink r:id="rId9" w:history="1">
        <w:r w:rsidRPr="003E5E7F">
          <w:rPr>
            <w:rStyle w:val="Hyperlink"/>
            <w:rFonts w:asciiTheme="minorHAnsi" w:hAnsiTheme="minorHAnsi" w:cstheme="minorHAnsi"/>
            <w:sz w:val="20"/>
          </w:rPr>
          <w:t>aurelija.ok</w:t>
        </w:r>
        <w:r w:rsidRPr="003E5E7F">
          <w:rPr>
            <w:rStyle w:val="Hyperlink"/>
            <w:rFonts w:asciiTheme="minorHAnsi" w:hAnsiTheme="minorHAnsi" w:cstheme="minorHAnsi"/>
            <w:sz w:val="20"/>
            <w:lang w:val="en-US"/>
          </w:rPr>
          <w:t>@vaikolabui.lt</w:t>
        </w:r>
      </w:hyperlink>
    </w:p>
    <w:p w14:paraId="61B726ED" w14:textId="23094DCB" w:rsidR="003E5E7F" w:rsidRPr="003E5E7F" w:rsidRDefault="003E5E7F" w:rsidP="00AA3B22">
      <w:pPr>
        <w:spacing w:line="240" w:lineRule="exact"/>
        <w:ind w:left="1276"/>
        <w:jc w:val="both"/>
        <w:rPr>
          <w:rStyle w:val="Hyperlink"/>
          <w:rFonts w:asciiTheme="minorHAnsi" w:hAnsiTheme="minorHAnsi" w:cstheme="minorHAnsi"/>
          <w:i/>
          <w:iCs/>
          <w:sz w:val="20"/>
          <w:lang w:val="en-US"/>
        </w:rPr>
      </w:pPr>
      <w:r w:rsidRPr="003E5E7F">
        <w:rPr>
          <w:rStyle w:val="Hyperlink"/>
          <w:rFonts w:asciiTheme="minorHAnsi" w:hAnsiTheme="minorHAnsi" w:cstheme="minorHAnsi"/>
          <w:i/>
          <w:iCs/>
          <w:sz w:val="20"/>
          <w:lang w:val="en-US"/>
        </w:rPr>
        <w:t>www.vaikolabui.lt</w:t>
      </w:r>
    </w:p>
    <w:p w14:paraId="742DFFAB" w14:textId="77777777" w:rsidR="00AA3B22" w:rsidRPr="00AA3B22" w:rsidRDefault="00AA3B22" w:rsidP="00AA3B22">
      <w:pPr>
        <w:jc w:val="both"/>
        <w:rPr>
          <w:rFonts w:asciiTheme="minorHAnsi" w:hAnsiTheme="minorHAnsi"/>
          <w:sz w:val="22"/>
          <w:szCs w:val="23"/>
        </w:rPr>
      </w:pPr>
    </w:p>
    <w:p w14:paraId="1F0509A3" w14:textId="77777777" w:rsidR="00AA3B22" w:rsidRPr="00AA3B22" w:rsidRDefault="00AA3B22" w:rsidP="00AA3B22">
      <w:pPr>
        <w:jc w:val="both"/>
        <w:rPr>
          <w:rFonts w:asciiTheme="minorHAnsi" w:hAnsiTheme="minorHAnsi"/>
          <w:sz w:val="23"/>
          <w:szCs w:val="23"/>
        </w:rPr>
      </w:pPr>
    </w:p>
    <w:sectPr w:rsidR="00AA3B22" w:rsidRPr="00AA3B22" w:rsidSect="00DD3224">
      <w:pgSz w:w="11906" w:h="16838"/>
      <w:pgMar w:top="1134" w:right="1134"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Minion Pro">
    <w:altName w:val="Cambria"/>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298A"/>
    <w:multiLevelType w:val="hybridMultilevel"/>
    <w:tmpl w:val="384063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3A6320A"/>
    <w:multiLevelType w:val="hybridMultilevel"/>
    <w:tmpl w:val="C6543D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22"/>
    <w:rsid w:val="003E5E7F"/>
    <w:rsid w:val="00442434"/>
    <w:rsid w:val="007E474D"/>
    <w:rsid w:val="00AA3B22"/>
    <w:rsid w:val="00DD3224"/>
    <w:rsid w:val="00ED23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233B"/>
  <w15:chartTrackingRefBased/>
  <w15:docId w15:val="{20BAD5D7-B7D5-452D-BE77-FAB652DC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B22"/>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3B22"/>
    <w:pPr>
      <w:autoSpaceDE w:val="0"/>
      <w:autoSpaceDN w:val="0"/>
      <w:adjustRightInd w:val="0"/>
    </w:pPr>
    <w:rPr>
      <w:rFonts w:ascii="Minion Pro" w:hAnsi="Minion Pro" w:cs="Minion Pro"/>
      <w:color w:val="000000"/>
      <w:szCs w:val="24"/>
    </w:rPr>
  </w:style>
  <w:style w:type="paragraph" w:styleId="ListParagraph">
    <w:name w:val="List Paragraph"/>
    <w:basedOn w:val="Normal"/>
    <w:uiPriority w:val="34"/>
    <w:qFormat/>
    <w:rsid w:val="00AA3B22"/>
    <w:pPr>
      <w:ind w:left="720"/>
      <w:contextualSpacing/>
    </w:pPr>
  </w:style>
  <w:style w:type="paragraph" w:styleId="BodyText2">
    <w:name w:val="Body Text 2"/>
    <w:basedOn w:val="Normal"/>
    <w:link w:val="BodyText2Char"/>
    <w:uiPriority w:val="99"/>
    <w:unhideWhenUsed/>
    <w:rsid w:val="00AA3B22"/>
    <w:pPr>
      <w:spacing w:after="120" w:line="480" w:lineRule="auto"/>
    </w:pPr>
    <w:rPr>
      <w:rFonts w:eastAsia="Times New Roman"/>
      <w:szCs w:val="24"/>
      <w:lang w:val="en-GB"/>
    </w:rPr>
  </w:style>
  <w:style w:type="character" w:customStyle="1" w:styleId="BodyText2Char">
    <w:name w:val="Body Text 2 Char"/>
    <w:basedOn w:val="DefaultParagraphFont"/>
    <w:link w:val="BodyText2"/>
    <w:uiPriority w:val="99"/>
    <w:rsid w:val="00AA3B22"/>
    <w:rPr>
      <w:rFonts w:ascii="Times New Roman" w:eastAsia="Times New Roman" w:hAnsi="Times New Roman" w:cs="Times New Roman"/>
      <w:szCs w:val="24"/>
      <w:lang w:val="en-GB"/>
    </w:rPr>
  </w:style>
  <w:style w:type="table" w:styleId="TableGrid">
    <w:name w:val="Table Grid"/>
    <w:basedOn w:val="TableNormal"/>
    <w:uiPriority w:val="59"/>
    <w:rsid w:val="00AA3B2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AA3B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urelija.ok@vaikolabu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2649</Words>
  <Characters>1510</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Aurelija</dc:creator>
  <cp:keywords/>
  <dc:description/>
  <cp:lastModifiedBy>Aurelija</cp:lastModifiedBy>
  <cp:revision>2</cp:revision>
  <dcterms:created xsi:type="dcterms:W3CDTF">2018-10-31T11:30:00Z</dcterms:created>
  <dcterms:modified xsi:type="dcterms:W3CDTF">2018-10-31T11:43:00Z</dcterms:modified>
</cp:coreProperties>
</file>